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BD04" w14:textId="77777777" w:rsidR="00537891" w:rsidRDefault="00537891" w:rsidP="00FA04D8">
      <w:pPr>
        <w:jc w:val="center"/>
        <w:rPr>
          <w:b/>
          <w:bCs/>
        </w:rPr>
      </w:pPr>
    </w:p>
    <w:p w14:paraId="2FD9A7B7" w14:textId="11DCB7B1" w:rsidR="00FA04D8" w:rsidRPr="00537891" w:rsidRDefault="00FA04D8" w:rsidP="00FA04D8">
      <w:pPr>
        <w:jc w:val="center"/>
        <w:rPr>
          <w:rFonts w:ascii="Times New Roman" w:hAnsi="Times New Roman" w:cs="Times New Roman"/>
          <w:b/>
          <w:bCs/>
          <w:sz w:val="24"/>
          <w:szCs w:val="24"/>
        </w:rPr>
      </w:pPr>
      <w:r w:rsidRPr="00537891">
        <w:rPr>
          <w:rFonts w:ascii="Times New Roman" w:hAnsi="Times New Roman" w:cs="Times New Roman"/>
          <w:b/>
          <w:bCs/>
          <w:sz w:val="24"/>
          <w:szCs w:val="24"/>
        </w:rPr>
        <w:t>ANEXO I – 2ª CHAMADA</w:t>
      </w:r>
    </w:p>
    <w:p w14:paraId="4C03DB24" w14:textId="77777777" w:rsidR="00FA04D8" w:rsidRPr="00537891" w:rsidRDefault="00FA04D8" w:rsidP="00FA04D8">
      <w:pPr>
        <w:rPr>
          <w:rFonts w:ascii="Times New Roman" w:hAnsi="Times New Roman" w:cs="Times New Roman"/>
          <w:b/>
          <w:bCs/>
          <w:sz w:val="24"/>
          <w:szCs w:val="24"/>
        </w:rPr>
      </w:pPr>
      <w:r w:rsidRPr="00537891">
        <w:rPr>
          <w:rFonts w:ascii="Times New Roman" w:hAnsi="Times New Roman" w:cs="Times New Roman"/>
          <w:b/>
          <w:bCs/>
          <w:sz w:val="24"/>
          <w:szCs w:val="24"/>
        </w:rPr>
        <w:t>CATEGORIAS DE PREMIAÇÃO</w:t>
      </w:r>
    </w:p>
    <w:p w14:paraId="4AFACEBE" w14:textId="77777777"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Este documento estabelece as categorias de premiação do Edital de Fomento Cultural do Município de Campo Alegre de Goiás, com recursos da Política Nacional Aldir Blanc (PNAB), em alinhamento com as demandas da comunidade local e as diretrizes da Instrução Normativa MINC nº 10/2023.</w:t>
      </w:r>
    </w:p>
    <w:p w14:paraId="12DA20A0" w14:textId="468C132E" w:rsidR="00FA04D8" w:rsidRPr="00537891" w:rsidRDefault="00FA04D8" w:rsidP="00FA04D8">
      <w:pPr>
        <w:rPr>
          <w:rFonts w:ascii="Times New Roman" w:hAnsi="Times New Roman" w:cs="Times New Roman"/>
          <w:sz w:val="24"/>
          <w:szCs w:val="24"/>
        </w:rPr>
      </w:pPr>
    </w:p>
    <w:p w14:paraId="5522462F" w14:textId="77777777" w:rsidR="00FA04D8" w:rsidRPr="00537891" w:rsidRDefault="00FA04D8" w:rsidP="00FA04D8">
      <w:pPr>
        <w:rPr>
          <w:rFonts w:ascii="Times New Roman" w:hAnsi="Times New Roman" w:cs="Times New Roman"/>
          <w:b/>
          <w:bCs/>
          <w:sz w:val="24"/>
          <w:szCs w:val="24"/>
        </w:rPr>
      </w:pPr>
      <w:r w:rsidRPr="00537891">
        <w:rPr>
          <w:rFonts w:ascii="Times New Roman" w:hAnsi="Times New Roman" w:cs="Times New Roman"/>
          <w:b/>
          <w:bCs/>
          <w:sz w:val="24"/>
          <w:szCs w:val="24"/>
        </w:rPr>
        <w:t>RECURSOS DO EDITAL</w:t>
      </w:r>
    </w:p>
    <w:p w14:paraId="1EEB4B6C" w14:textId="77777777"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 xml:space="preserve">O valor total destinado a este edital é de </w:t>
      </w:r>
      <w:r w:rsidRPr="00537891">
        <w:rPr>
          <w:rFonts w:ascii="Times New Roman" w:hAnsi="Times New Roman" w:cs="Times New Roman"/>
          <w:b/>
          <w:bCs/>
          <w:sz w:val="24"/>
          <w:szCs w:val="24"/>
        </w:rPr>
        <w:t>R$ 29.600,00</w:t>
      </w:r>
      <w:r w:rsidRPr="00537891">
        <w:rPr>
          <w:rFonts w:ascii="Times New Roman" w:hAnsi="Times New Roman" w:cs="Times New Roman"/>
          <w:sz w:val="24"/>
          <w:szCs w:val="24"/>
        </w:rPr>
        <w:t xml:space="preserve"> (vinte e nove mil e seiscentos reais).</w:t>
      </w:r>
    </w:p>
    <w:p w14:paraId="43B9399D" w14:textId="06C8A4E1" w:rsidR="00FA04D8" w:rsidRPr="00537891" w:rsidRDefault="00FA04D8" w:rsidP="00FA04D8">
      <w:pPr>
        <w:rPr>
          <w:rFonts w:ascii="Times New Roman" w:hAnsi="Times New Roman" w:cs="Times New Roman"/>
          <w:sz w:val="24"/>
          <w:szCs w:val="24"/>
        </w:rPr>
      </w:pPr>
    </w:p>
    <w:p w14:paraId="33E40B89" w14:textId="77777777" w:rsidR="00FA04D8" w:rsidRPr="00537891" w:rsidRDefault="00FA04D8" w:rsidP="00FA04D8">
      <w:pPr>
        <w:rPr>
          <w:rFonts w:ascii="Times New Roman" w:hAnsi="Times New Roman" w:cs="Times New Roman"/>
          <w:b/>
          <w:bCs/>
          <w:sz w:val="24"/>
          <w:szCs w:val="24"/>
        </w:rPr>
      </w:pPr>
      <w:r w:rsidRPr="00537891">
        <w:rPr>
          <w:rFonts w:ascii="Times New Roman" w:hAnsi="Times New Roman" w:cs="Times New Roman"/>
          <w:b/>
          <w:bCs/>
          <w:sz w:val="24"/>
          <w:szCs w:val="24"/>
        </w:rPr>
        <w:t>1. DISTRIBUIÇÃO DE VAGAS E VALORES</w:t>
      </w:r>
    </w:p>
    <w:p w14:paraId="4E9B55E5" w14:textId="77777777"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O edital abrange as seguintes categorias de premiação, com vagas e valores definidos conforme as ações afirmativas estabelecidas para inclusão e representatividade:</w:t>
      </w:r>
    </w:p>
    <w:tbl>
      <w:tblPr>
        <w:tblStyle w:val="Tabelacomgrade"/>
        <w:tblW w:w="0" w:type="auto"/>
        <w:tblLook w:val="04A0" w:firstRow="1" w:lastRow="0" w:firstColumn="1" w:lastColumn="0" w:noHBand="0" w:noVBand="1"/>
      </w:tblPr>
      <w:tblGrid>
        <w:gridCol w:w="2254"/>
        <w:gridCol w:w="2254"/>
        <w:gridCol w:w="2254"/>
        <w:gridCol w:w="2254"/>
      </w:tblGrid>
      <w:tr w:rsidR="00FA04D8" w:rsidRPr="00537891" w14:paraId="11B148D2" w14:textId="77777777" w:rsidTr="00EC6728">
        <w:tc>
          <w:tcPr>
            <w:tcW w:w="2254" w:type="dxa"/>
            <w:vAlign w:val="center"/>
          </w:tcPr>
          <w:p w14:paraId="4E5AB9C1" w14:textId="385FF8DC"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b/>
                <w:bCs/>
                <w:sz w:val="24"/>
                <w:szCs w:val="24"/>
              </w:rPr>
              <w:t>Categoria</w:t>
            </w:r>
          </w:p>
        </w:tc>
        <w:tc>
          <w:tcPr>
            <w:tcW w:w="2254" w:type="dxa"/>
            <w:vAlign w:val="center"/>
          </w:tcPr>
          <w:p w14:paraId="0994F184" w14:textId="54DAF06E"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b/>
                <w:bCs/>
                <w:sz w:val="24"/>
                <w:szCs w:val="24"/>
              </w:rPr>
              <w:t>Valor do Prêmio (R$)</w:t>
            </w:r>
          </w:p>
        </w:tc>
        <w:tc>
          <w:tcPr>
            <w:tcW w:w="2254" w:type="dxa"/>
            <w:vAlign w:val="center"/>
          </w:tcPr>
          <w:p w14:paraId="3202049C" w14:textId="6E468400"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b/>
                <w:bCs/>
                <w:sz w:val="24"/>
                <w:szCs w:val="24"/>
              </w:rPr>
              <w:t>Quantidade de Vagas</w:t>
            </w:r>
          </w:p>
        </w:tc>
        <w:tc>
          <w:tcPr>
            <w:tcW w:w="2254" w:type="dxa"/>
            <w:vAlign w:val="center"/>
          </w:tcPr>
          <w:p w14:paraId="12779C3B" w14:textId="2242DE40"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b/>
                <w:bCs/>
                <w:sz w:val="24"/>
                <w:szCs w:val="24"/>
              </w:rPr>
              <w:t>Valor Total (R$)</w:t>
            </w:r>
          </w:p>
        </w:tc>
      </w:tr>
      <w:tr w:rsidR="00FA04D8" w:rsidRPr="00537891" w14:paraId="75955D59" w14:textId="77777777" w:rsidTr="000C4808">
        <w:tc>
          <w:tcPr>
            <w:tcW w:w="2254" w:type="dxa"/>
            <w:vAlign w:val="center"/>
          </w:tcPr>
          <w:p w14:paraId="59435B68" w14:textId="2877E021"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b/>
                <w:bCs/>
                <w:sz w:val="24"/>
                <w:szCs w:val="24"/>
              </w:rPr>
              <w:t>Agentes culturais em áreas rurais e periféricas</w:t>
            </w:r>
          </w:p>
        </w:tc>
        <w:tc>
          <w:tcPr>
            <w:tcW w:w="2254" w:type="dxa"/>
            <w:vAlign w:val="center"/>
          </w:tcPr>
          <w:p w14:paraId="08168AB0" w14:textId="19DE1B7F"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4.400,00</w:t>
            </w:r>
          </w:p>
        </w:tc>
        <w:tc>
          <w:tcPr>
            <w:tcW w:w="2254" w:type="dxa"/>
            <w:vAlign w:val="center"/>
          </w:tcPr>
          <w:p w14:paraId="63D3369C" w14:textId="78D191E1"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1</w:t>
            </w:r>
          </w:p>
        </w:tc>
        <w:tc>
          <w:tcPr>
            <w:tcW w:w="2254" w:type="dxa"/>
            <w:vAlign w:val="center"/>
          </w:tcPr>
          <w:p w14:paraId="38E2F31C" w14:textId="1AD64E2A"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4.400,00</w:t>
            </w:r>
          </w:p>
        </w:tc>
      </w:tr>
      <w:tr w:rsidR="00FA04D8" w:rsidRPr="00537891" w14:paraId="06007DC4" w14:textId="77777777" w:rsidTr="00CD6DD2">
        <w:tc>
          <w:tcPr>
            <w:tcW w:w="2254" w:type="dxa"/>
            <w:vAlign w:val="center"/>
          </w:tcPr>
          <w:p w14:paraId="7E2B19E9" w14:textId="5A7E4D72"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b/>
                <w:bCs/>
                <w:sz w:val="24"/>
                <w:szCs w:val="24"/>
              </w:rPr>
              <w:t>Trabalhadores da cultura em geral</w:t>
            </w:r>
          </w:p>
        </w:tc>
        <w:tc>
          <w:tcPr>
            <w:tcW w:w="2254" w:type="dxa"/>
            <w:vAlign w:val="center"/>
          </w:tcPr>
          <w:p w14:paraId="568E0624" w14:textId="3A6DF4D7"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3.600,00</w:t>
            </w:r>
          </w:p>
        </w:tc>
        <w:tc>
          <w:tcPr>
            <w:tcW w:w="2254" w:type="dxa"/>
            <w:vAlign w:val="center"/>
          </w:tcPr>
          <w:p w14:paraId="218E6EB8" w14:textId="2756C18F"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7</w:t>
            </w:r>
          </w:p>
        </w:tc>
        <w:tc>
          <w:tcPr>
            <w:tcW w:w="2254" w:type="dxa"/>
            <w:vAlign w:val="center"/>
          </w:tcPr>
          <w:p w14:paraId="703A41F0" w14:textId="464C628A"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25.200,00</w:t>
            </w:r>
          </w:p>
        </w:tc>
      </w:tr>
      <w:tr w:rsidR="00FA04D8" w:rsidRPr="00537891" w14:paraId="0AC44534" w14:textId="77777777" w:rsidTr="00834BF7">
        <w:tc>
          <w:tcPr>
            <w:tcW w:w="4508" w:type="dxa"/>
            <w:gridSpan w:val="2"/>
            <w:vAlign w:val="center"/>
          </w:tcPr>
          <w:p w14:paraId="06FCCB8C" w14:textId="135A89D6"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b/>
                <w:bCs/>
                <w:sz w:val="24"/>
                <w:szCs w:val="24"/>
              </w:rPr>
              <w:t>Total Geral</w:t>
            </w:r>
          </w:p>
        </w:tc>
        <w:tc>
          <w:tcPr>
            <w:tcW w:w="2254" w:type="dxa"/>
            <w:vAlign w:val="center"/>
          </w:tcPr>
          <w:p w14:paraId="2B195BA7" w14:textId="563967F8"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b/>
                <w:bCs/>
                <w:sz w:val="24"/>
                <w:szCs w:val="24"/>
              </w:rPr>
              <w:t>8 vagas</w:t>
            </w:r>
          </w:p>
        </w:tc>
        <w:tc>
          <w:tcPr>
            <w:tcW w:w="2254" w:type="dxa"/>
            <w:vAlign w:val="center"/>
          </w:tcPr>
          <w:p w14:paraId="06DDEC70" w14:textId="73568290"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b/>
                <w:bCs/>
                <w:sz w:val="24"/>
                <w:szCs w:val="24"/>
              </w:rPr>
              <w:t>29.600,00</w:t>
            </w:r>
          </w:p>
        </w:tc>
      </w:tr>
    </w:tbl>
    <w:p w14:paraId="7CB61FD8" w14:textId="5A6A050F" w:rsidR="00FA04D8" w:rsidRPr="00537891" w:rsidRDefault="00FA04D8" w:rsidP="00FA04D8">
      <w:pPr>
        <w:rPr>
          <w:rFonts w:ascii="Times New Roman" w:hAnsi="Times New Roman" w:cs="Times New Roman"/>
          <w:sz w:val="24"/>
          <w:szCs w:val="24"/>
        </w:rPr>
      </w:pPr>
    </w:p>
    <w:p w14:paraId="50E44E50" w14:textId="6452247B" w:rsidR="00724A49" w:rsidRPr="00537891" w:rsidRDefault="00724A49" w:rsidP="00724A49">
      <w:pPr>
        <w:rPr>
          <w:rFonts w:ascii="Times New Roman" w:hAnsi="Times New Roman" w:cs="Times New Roman"/>
          <w:b/>
          <w:bCs/>
          <w:sz w:val="24"/>
          <w:szCs w:val="24"/>
        </w:rPr>
      </w:pPr>
      <w:r w:rsidRPr="00537891">
        <w:rPr>
          <w:rFonts w:ascii="Times New Roman" w:hAnsi="Times New Roman" w:cs="Times New Roman"/>
          <w:b/>
          <w:bCs/>
          <w:sz w:val="24"/>
          <w:szCs w:val="24"/>
        </w:rPr>
        <w:t>2. DO CRONOGRAMA</w:t>
      </w:r>
    </w:p>
    <w:tbl>
      <w:tblPr>
        <w:tblStyle w:val="Tabelacomgrade"/>
        <w:tblW w:w="0" w:type="auto"/>
        <w:tblLook w:val="04A0" w:firstRow="1" w:lastRow="0" w:firstColumn="1" w:lastColumn="0" w:noHBand="0" w:noVBand="1"/>
      </w:tblPr>
      <w:tblGrid>
        <w:gridCol w:w="4508"/>
        <w:gridCol w:w="4508"/>
      </w:tblGrid>
      <w:tr w:rsidR="00724A49" w:rsidRPr="00537891" w14:paraId="36D71810" w14:textId="77777777" w:rsidTr="002C1079">
        <w:tc>
          <w:tcPr>
            <w:tcW w:w="4508" w:type="dxa"/>
            <w:vAlign w:val="center"/>
          </w:tcPr>
          <w:p w14:paraId="619D3332" w14:textId="77777777" w:rsidR="00724A49" w:rsidRPr="00537891" w:rsidRDefault="00724A49" w:rsidP="002C1079">
            <w:pPr>
              <w:rPr>
                <w:rFonts w:ascii="Times New Roman" w:hAnsi="Times New Roman" w:cs="Times New Roman"/>
                <w:b/>
                <w:bCs/>
                <w:sz w:val="24"/>
                <w:szCs w:val="24"/>
              </w:rPr>
            </w:pPr>
            <w:r w:rsidRPr="00537891">
              <w:rPr>
                <w:rFonts w:ascii="Times New Roman" w:hAnsi="Times New Roman" w:cs="Times New Roman"/>
                <w:b/>
                <w:bCs/>
                <w:sz w:val="24"/>
                <w:szCs w:val="24"/>
              </w:rPr>
              <w:t>Etapa</w:t>
            </w:r>
          </w:p>
        </w:tc>
        <w:tc>
          <w:tcPr>
            <w:tcW w:w="4508" w:type="dxa"/>
            <w:vAlign w:val="center"/>
          </w:tcPr>
          <w:p w14:paraId="66C1E0B9" w14:textId="77777777" w:rsidR="00724A49" w:rsidRPr="00537891" w:rsidRDefault="00724A49" w:rsidP="002C1079">
            <w:pPr>
              <w:rPr>
                <w:rFonts w:ascii="Times New Roman" w:hAnsi="Times New Roman" w:cs="Times New Roman"/>
                <w:b/>
                <w:bCs/>
                <w:sz w:val="24"/>
                <w:szCs w:val="24"/>
              </w:rPr>
            </w:pPr>
            <w:r w:rsidRPr="00537891">
              <w:rPr>
                <w:rFonts w:ascii="Times New Roman" w:hAnsi="Times New Roman" w:cs="Times New Roman"/>
                <w:b/>
                <w:bCs/>
                <w:sz w:val="24"/>
                <w:szCs w:val="24"/>
              </w:rPr>
              <w:t>Período</w:t>
            </w:r>
          </w:p>
        </w:tc>
      </w:tr>
      <w:tr w:rsidR="00724A49" w:rsidRPr="00537891" w14:paraId="16681F14" w14:textId="77777777" w:rsidTr="002C1079">
        <w:tc>
          <w:tcPr>
            <w:tcW w:w="4508" w:type="dxa"/>
            <w:vAlign w:val="center"/>
          </w:tcPr>
          <w:p w14:paraId="74C2E524" w14:textId="77777777" w:rsidR="00724A49" w:rsidRPr="00537891" w:rsidRDefault="00724A49" w:rsidP="002C1079">
            <w:pPr>
              <w:rPr>
                <w:rFonts w:ascii="Times New Roman" w:hAnsi="Times New Roman" w:cs="Times New Roman"/>
                <w:b/>
                <w:bCs/>
                <w:sz w:val="24"/>
                <w:szCs w:val="24"/>
              </w:rPr>
            </w:pPr>
            <w:r w:rsidRPr="00537891">
              <w:rPr>
                <w:rFonts w:ascii="Times New Roman" w:hAnsi="Times New Roman" w:cs="Times New Roman"/>
                <w:sz w:val="24"/>
                <w:szCs w:val="24"/>
              </w:rPr>
              <w:t>Publicação do Edital</w:t>
            </w:r>
          </w:p>
        </w:tc>
        <w:tc>
          <w:tcPr>
            <w:tcW w:w="4508" w:type="dxa"/>
            <w:vAlign w:val="center"/>
          </w:tcPr>
          <w:p w14:paraId="73DD9348" w14:textId="09C20B08" w:rsidR="00724A49" w:rsidRPr="00537891" w:rsidRDefault="00F64124" w:rsidP="002C1079">
            <w:pPr>
              <w:rPr>
                <w:rFonts w:ascii="Times New Roman" w:hAnsi="Times New Roman" w:cs="Times New Roman"/>
                <w:b/>
                <w:bCs/>
                <w:sz w:val="24"/>
                <w:szCs w:val="24"/>
              </w:rPr>
            </w:pPr>
            <w:r>
              <w:rPr>
                <w:rFonts w:ascii="Times New Roman" w:hAnsi="Times New Roman" w:cs="Times New Roman"/>
                <w:sz w:val="24"/>
                <w:szCs w:val="24"/>
              </w:rPr>
              <w:t>06</w:t>
            </w:r>
            <w:r w:rsidR="00724A49" w:rsidRPr="00537891">
              <w:rPr>
                <w:rFonts w:ascii="Times New Roman" w:hAnsi="Times New Roman" w:cs="Times New Roman"/>
                <w:sz w:val="24"/>
                <w:szCs w:val="24"/>
              </w:rPr>
              <w:t>/0</w:t>
            </w:r>
            <w:r>
              <w:rPr>
                <w:rFonts w:ascii="Times New Roman" w:hAnsi="Times New Roman" w:cs="Times New Roman"/>
                <w:sz w:val="24"/>
                <w:szCs w:val="24"/>
              </w:rPr>
              <w:t>2</w:t>
            </w:r>
            <w:r w:rsidR="00724A49" w:rsidRPr="00537891">
              <w:rPr>
                <w:rFonts w:ascii="Times New Roman" w:hAnsi="Times New Roman" w:cs="Times New Roman"/>
                <w:sz w:val="24"/>
                <w:szCs w:val="24"/>
              </w:rPr>
              <w:t>/2025</w:t>
            </w:r>
          </w:p>
        </w:tc>
      </w:tr>
      <w:tr w:rsidR="00724A49" w:rsidRPr="00537891" w14:paraId="75240ACF" w14:textId="77777777" w:rsidTr="002C1079">
        <w:tc>
          <w:tcPr>
            <w:tcW w:w="4508" w:type="dxa"/>
            <w:vAlign w:val="center"/>
          </w:tcPr>
          <w:p w14:paraId="337D07BA" w14:textId="77777777" w:rsidR="00724A49" w:rsidRPr="00537891" w:rsidRDefault="00724A49" w:rsidP="002C1079">
            <w:pPr>
              <w:rPr>
                <w:rFonts w:ascii="Times New Roman" w:hAnsi="Times New Roman" w:cs="Times New Roman"/>
                <w:b/>
                <w:bCs/>
                <w:sz w:val="24"/>
                <w:szCs w:val="24"/>
              </w:rPr>
            </w:pPr>
            <w:r w:rsidRPr="00537891">
              <w:rPr>
                <w:rFonts w:ascii="Times New Roman" w:hAnsi="Times New Roman" w:cs="Times New Roman"/>
                <w:sz w:val="24"/>
                <w:szCs w:val="24"/>
              </w:rPr>
              <w:t>Período de Inscrições</w:t>
            </w:r>
          </w:p>
        </w:tc>
        <w:tc>
          <w:tcPr>
            <w:tcW w:w="4508" w:type="dxa"/>
            <w:vAlign w:val="center"/>
          </w:tcPr>
          <w:p w14:paraId="5E9E2CA8" w14:textId="577904E1" w:rsidR="00724A49" w:rsidRPr="00537891" w:rsidRDefault="00F64124" w:rsidP="002C1079">
            <w:pPr>
              <w:rPr>
                <w:rFonts w:ascii="Times New Roman" w:hAnsi="Times New Roman" w:cs="Times New Roman"/>
                <w:b/>
                <w:bCs/>
                <w:sz w:val="24"/>
                <w:szCs w:val="24"/>
              </w:rPr>
            </w:pPr>
            <w:r>
              <w:rPr>
                <w:rFonts w:ascii="Times New Roman" w:hAnsi="Times New Roman" w:cs="Times New Roman"/>
                <w:sz w:val="24"/>
                <w:szCs w:val="24"/>
              </w:rPr>
              <w:t>10</w:t>
            </w:r>
            <w:r w:rsidR="00537891">
              <w:rPr>
                <w:rFonts w:ascii="Times New Roman" w:hAnsi="Times New Roman" w:cs="Times New Roman"/>
                <w:sz w:val="24"/>
                <w:szCs w:val="24"/>
              </w:rPr>
              <w:t>/02</w:t>
            </w:r>
            <w:r w:rsidR="00724A49" w:rsidRPr="00537891">
              <w:rPr>
                <w:rFonts w:ascii="Times New Roman" w:hAnsi="Times New Roman" w:cs="Times New Roman"/>
                <w:sz w:val="24"/>
                <w:szCs w:val="24"/>
              </w:rPr>
              <w:t xml:space="preserve">/2025 a </w:t>
            </w:r>
            <w:r w:rsidR="00537891">
              <w:rPr>
                <w:rFonts w:ascii="Times New Roman" w:hAnsi="Times New Roman" w:cs="Times New Roman"/>
                <w:sz w:val="24"/>
                <w:szCs w:val="24"/>
              </w:rPr>
              <w:t>1</w:t>
            </w:r>
            <w:r>
              <w:rPr>
                <w:rFonts w:ascii="Times New Roman" w:hAnsi="Times New Roman" w:cs="Times New Roman"/>
                <w:sz w:val="24"/>
                <w:szCs w:val="24"/>
              </w:rPr>
              <w:t>7</w:t>
            </w:r>
            <w:r w:rsidR="00724A49" w:rsidRPr="00537891">
              <w:rPr>
                <w:rFonts w:ascii="Times New Roman" w:hAnsi="Times New Roman" w:cs="Times New Roman"/>
                <w:sz w:val="24"/>
                <w:szCs w:val="24"/>
              </w:rPr>
              <w:t>/02/2025</w:t>
            </w:r>
          </w:p>
        </w:tc>
      </w:tr>
      <w:tr w:rsidR="00724A49" w:rsidRPr="00537891" w14:paraId="7185B773" w14:textId="77777777" w:rsidTr="002C1079">
        <w:tc>
          <w:tcPr>
            <w:tcW w:w="4508" w:type="dxa"/>
            <w:vAlign w:val="center"/>
          </w:tcPr>
          <w:p w14:paraId="02BFA8FB" w14:textId="77777777" w:rsidR="00724A49" w:rsidRPr="00537891" w:rsidRDefault="00724A49" w:rsidP="002C1079">
            <w:pPr>
              <w:rPr>
                <w:rFonts w:ascii="Times New Roman" w:hAnsi="Times New Roman" w:cs="Times New Roman"/>
                <w:b/>
                <w:bCs/>
                <w:sz w:val="24"/>
                <w:szCs w:val="24"/>
              </w:rPr>
            </w:pPr>
            <w:r w:rsidRPr="00537891">
              <w:rPr>
                <w:rFonts w:ascii="Times New Roman" w:hAnsi="Times New Roman" w:cs="Times New Roman"/>
                <w:sz w:val="24"/>
                <w:szCs w:val="24"/>
              </w:rPr>
              <w:t>Seleção</w:t>
            </w:r>
          </w:p>
        </w:tc>
        <w:tc>
          <w:tcPr>
            <w:tcW w:w="4508" w:type="dxa"/>
            <w:vAlign w:val="center"/>
          </w:tcPr>
          <w:p w14:paraId="0DC24961" w14:textId="78813C32" w:rsidR="00724A49" w:rsidRPr="00537891" w:rsidRDefault="00537891" w:rsidP="002C1079">
            <w:pPr>
              <w:rPr>
                <w:rFonts w:ascii="Times New Roman" w:hAnsi="Times New Roman" w:cs="Times New Roman"/>
                <w:b/>
                <w:bCs/>
                <w:sz w:val="24"/>
                <w:szCs w:val="24"/>
              </w:rPr>
            </w:pPr>
            <w:r>
              <w:rPr>
                <w:rFonts w:ascii="Times New Roman" w:hAnsi="Times New Roman" w:cs="Times New Roman"/>
                <w:sz w:val="24"/>
                <w:szCs w:val="24"/>
              </w:rPr>
              <w:t>1</w:t>
            </w:r>
            <w:r w:rsidR="00F64124">
              <w:rPr>
                <w:rFonts w:ascii="Times New Roman" w:hAnsi="Times New Roman" w:cs="Times New Roman"/>
                <w:sz w:val="24"/>
                <w:szCs w:val="24"/>
              </w:rPr>
              <w:t>8</w:t>
            </w:r>
            <w:r w:rsidR="00724A49" w:rsidRPr="00537891">
              <w:rPr>
                <w:rFonts w:ascii="Times New Roman" w:hAnsi="Times New Roman" w:cs="Times New Roman"/>
                <w:sz w:val="24"/>
                <w:szCs w:val="24"/>
              </w:rPr>
              <w:t xml:space="preserve">/02/2025 a </w:t>
            </w:r>
            <w:r w:rsidR="00140749">
              <w:rPr>
                <w:rFonts w:ascii="Times New Roman" w:hAnsi="Times New Roman" w:cs="Times New Roman"/>
                <w:sz w:val="24"/>
                <w:szCs w:val="24"/>
              </w:rPr>
              <w:t>21</w:t>
            </w:r>
            <w:r w:rsidR="00724A49" w:rsidRPr="00537891">
              <w:rPr>
                <w:rFonts w:ascii="Times New Roman" w:hAnsi="Times New Roman" w:cs="Times New Roman"/>
                <w:sz w:val="24"/>
                <w:szCs w:val="24"/>
              </w:rPr>
              <w:t>/02/2025</w:t>
            </w:r>
          </w:p>
        </w:tc>
      </w:tr>
      <w:tr w:rsidR="00724A49" w:rsidRPr="00537891" w14:paraId="45900CD4" w14:textId="77777777" w:rsidTr="002C1079">
        <w:tc>
          <w:tcPr>
            <w:tcW w:w="4508" w:type="dxa"/>
            <w:vAlign w:val="center"/>
          </w:tcPr>
          <w:p w14:paraId="31DBA3E0" w14:textId="77777777" w:rsidR="00724A49" w:rsidRPr="00537891" w:rsidRDefault="00724A49" w:rsidP="002C1079">
            <w:pPr>
              <w:rPr>
                <w:rFonts w:ascii="Times New Roman" w:hAnsi="Times New Roman" w:cs="Times New Roman"/>
                <w:b/>
                <w:bCs/>
                <w:sz w:val="24"/>
                <w:szCs w:val="24"/>
              </w:rPr>
            </w:pPr>
            <w:r w:rsidRPr="00537891">
              <w:rPr>
                <w:rFonts w:ascii="Times New Roman" w:hAnsi="Times New Roman" w:cs="Times New Roman"/>
                <w:sz w:val="24"/>
                <w:szCs w:val="24"/>
              </w:rPr>
              <w:t>Habilitação</w:t>
            </w:r>
          </w:p>
        </w:tc>
        <w:tc>
          <w:tcPr>
            <w:tcW w:w="4508" w:type="dxa"/>
            <w:vAlign w:val="center"/>
          </w:tcPr>
          <w:p w14:paraId="522A8DD5" w14:textId="77904D58" w:rsidR="00724A49" w:rsidRPr="00537891" w:rsidRDefault="00140749" w:rsidP="002C1079">
            <w:pPr>
              <w:rPr>
                <w:rFonts w:ascii="Times New Roman" w:hAnsi="Times New Roman" w:cs="Times New Roman"/>
                <w:b/>
                <w:bCs/>
                <w:sz w:val="24"/>
                <w:szCs w:val="24"/>
              </w:rPr>
            </w:pPr>
            <w:r>
              <w:rPr>
                <w:rFonts w:ascii="Times New Roman" w:hAnsi="Times New Roman" w:cs="Times New Roman"/>
                <w:sz w:val="24"/>
                <w:szCs w:val="24"/>
              </w:rPr>
              <w:t>24</w:t>
            </w:r>
            <w:r w:rsidR="00724A49" w:rsidRPr="00537891">
              <w:rPr>
                <w:rFonts w:ascii="Times New Roman" w:hAnsi="Times New Roman" w:cs="Times New Roman"/>
                <w:sz w:val="24"/>
                <w:szCs w:val="24"/>
              </w:rPr>
              <w:t xml:space="preserve">/02/2025 a </w:t>
            </w:r>
            <w:r w:rsidR="00537891">
              <w:rPr>
                <w:rFonts w:ascii="Times New Roman" w:hAnsi="Times New Roman" w:cs="Times New Roman"/>
                <w:sz w:val="24"/>
                <w:szCs w:val="24"/>
              </w:rPr>
              <w:t>26</w:t>
            </w:r>
            <w:r w:rsidR="00724A49" w:rsidRPr="00537891">
              <w:rPr>
                <w:rFonts w:ascii="Times New Roman" w:hAnsi="Times New Roman" w:cs="Times New Roman"/>
                <w:sz w:val="24"/>
                <w:szCs w:val="24"/>
              </w:rPr>
              <w:t>/02/2025</w:t>
            </w:r>
          </w:p>
        </w:tc>
      </w:tr>
      <w:tr w:rsidR="00724A49" w:rsidRPr="00537891" w14:paraId="5BE20A3B" w14:textId="77777777" w:rsidTr="002C1079">
        <w:tc>
          <w:tcPr>
            <w:tcW w:w="4508" w:type="dxa"/>
            <w:vAlign w:val="center"/>
          </w:tcPr>
          <w:p w14:paraId="424902CC" w14:textId="77777777" w:rsidR="00724A49" w:rsidRPr="00537891" w:rsidRDefault="00724A49" w:rsidP="002C1079">
            <w:pPr>
              <w:rPr>
                <w:rFonts w:ascii="Times New Roman" w:hAnsi="Times New Roman" w:cs="Times New Roman"/>
                <w:b/>
                <w:bCs/>
                <w:sz w:val="24"/>
                <w:szCs w:val="24"/>
              </w:rPr>
            </w:pPr>
            <w:r w:rsidRPr="00537891">
              <w:rPr>
                <w:rFonts w:ascii="Times New Roman" w:hAnsi="Times New Roman" w:cs="Times New Roman"/>
                <w:sz w:val="24"/>
                <w:szCs w:val="24"/>
              </w:rPr>
              <w:t>Pagamentos</w:t>
            </w:r>
          </w:p>
        </w:tc>
        <w:tc>
          <w:tcPr>
            <w:tcW w:w="4508" w:type="dxa"/>
            <w:vAlign w:val="center"/>
          </w:tcPr>
          <w:p w14:paraId="05FD2787" w14:textId="6374D397" w:rsidR="00724A49" w:rsidRPr="00537891" w:rsidRDefault="00724A49" w:rsidP="002C1079">
            <w:pPr>
              <w:rPr>
                <w:rFonts w:ascii="Times New Roman" w:hAnsi="Times New Roman" w:cs="Times New Roman"/>
                <w:b/>
                <w:bCs/>
                <w:sz w:val="24"/>
                <w:szCs w:val="24"/>
              </w:rPr>
            </w:pPr>
            <w:r w:rsidRPr="00537891">
              <w:rPr>
                <w:rFonts w:ascii="Times New Roman" w:hAnsi="Times New Roman" w:cs="Times New Roman"/>
                <w:sz w:val="24"/>
                <w:szCs w:val="24"/>
              </w:rPr>
              <w:t xml:space="preserve">Até </w:t>
            </w:r>
            <w:r w:rsidR="00537891">
              <w:rPr>
                <w:rFonts w:ascii="Times New Roman" w:hAnsi="Times New Roman" w:cs="Times New Roman"/>
                <w:sz w:val="24"/>
                <w:szCs w:val="24"/>
              </w:rPr>
              <w:t>24</w:t>
            </w:r>
            <w:r w:rsidRPr="00537891">
              <w:rPr>
                <w:rFonts w:ascii="Times New Roman" w:hAnsi="Times New Roman" w:cs="Times New Roman"/>
                <w:sz w:val="24"/>
                <w:szCs w:val="24"/>
              </w:rPr>
              <w:t>/03/2025</w:t>
            </w:r>
          </w:p>
        </w:tc>
      </w:tr>
    </w:tbl>
    <w:p w14:paraId="7F8CA008" w14:textId="77777777" w:rsidR="00724A49" w:rsidRPr="00537891" w:rsidRDefault="00724A49" w:rsidP="00FA04D8">
      <w:pPr>
        <w:rPr>
          <w:rFonts w:ascii="Times New Roman" w:hAnsi="Times New Roman" w:cs="Times New Roman"/>
          <w:sz w:val="24"/>
          <w:szCs w:val="24"/>
        </w:rPr>
      </w:pPr>
    </w:p>
    <w:p w14:paraId="71F09C33" w14:textId="6408DB42" w:rsidR="00FA04D8" w:rsidRPr="00537891" w:rsidRDefault="00724A49" w:rsidP="00FA04D8">
      <w:pPr>
        <w:rPr>
          <w:rFonts w:ascii="Times New Roman" w:hAnsi="Times New Roman" w:cs="Times New Roman"/>
          <w:b/>
          <w:bCs/>
          <w:sz w:val="24"/>
          <w:szCs w:val="24"/>
        </w:rPr>
      </w:pPr>
      <w:r w:rsidRPr="00537891">
        <w:rPr>
          <w:rFonts w:ascii="Times New Roman" w:hAnsi="Times New Roman" w:cs="Times New Roman"/>
          <w:b/>
          <w:bCs/>
          <w:sz w:val="24"/>
          <w:szCs w:val="24"/>
        </w:rPr>
        <w:t>3</w:t>
      </w:r>
      <w:r w:rsidR="00FA04D8" w:rsidRPr="00537891">
        <w:rPr>
          <w:rFonts w:ascii="Times New Roman" w:hAnsi="Times New Roman" w:cs="Times New Roman"/>
          <w:b/>
          <w:bCs/>
          <w:sz w:val="24"/>
          <w:szCs w:val="24"/>
        </w:rPr>
        <w:t>. COTAS E AÇÕES AFIRMATIVAS</w:t>
      </w:r>
    </w:p>
    <w:p w14:paraId="36A53EBF" w14:textId="77777777"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 xml:space="preserve">Este edital garante ações afirmativas para promover a inclusão e a representatividade de grupos </w:t>
      </w:r>
      <w:proofErr w:type="spellStart"/>
      <w:r w:rsidRPr="00537891">
        <w:rPr>
          <w:rFonts w:ascii="Times New Roman" w:hAnsi="Times New Roman" w:cs="Times New Roman"/>
          <w:sz w:val="24"/>
          <w:szCs w:val="24"/>
        </w:rPr>
        <w:t>sub-representados</w:t>
      </w:r>
      <w:proofErr w:type="spellEnd"/>
      <w:r w:rsidRPr="00537891">
        <w:rPr>
          <w:rFonts w:ascii="Times New Roman" w:hAnsi="Times New Roman" w:cs="Times New Roman"/>
          <w:sz w:val="24"/>
          <w:szCs w:val="24"/>
        </w:rPr>
        <w:t>, conforme estabelecido pela IN MINC nº 10/2023:</w:t>
      </w:r>
    </w:p>
    <w:p w14:paraId="7C6506B7" w14:textId="77777777" w:rsidR="00FA04D8" w:rsidRPr="00537891" w:rsidRDefault="00FA04D8" w:rsidP="00FA04D8">
      <w:pPr>
        <w:numPr>
          <w:ilvl w:val="0"/>
          <w:numId w:val="1"/>
        </w:numPr>
        <w:rPr>
          <w:rFonts w:ascii="Times New Roman" w:hAnsi="Times New Roman" w:cs="Times New Roman"/>
          <w:sz w:val="24"/>
          <w:szCs w:val="24"/>
        </w:rPr>
      </w:pPr>
      <w:r w:rsidRPr="00537891">
        <w:rPr>
          <w:rFonts w:ascii="Times New Roman" w:hAnsi="Times New Roman" w:cs="Times New Roman"/>
          <w:b/>
          <w:bCs/>
          <w:sz w:val="24"/>
          <w:szCs w:val="24"/>
        </w:rPr>
        <w:t>25%</w:t>
      </w:r>
      <w:r w:rsidRPr="00537891">
        <w:rPr>
          <w:rFonts w:ascii="Times New Roman" w:hAnsi="Times New Roman" w:cs="Times New Roman"/>
          <w:sz w:val="24"/>
          <w:szCs w:val="24"/>
        </w:rPr>
        <w:t xml:space="preserve"> das vagas para pessoas negras (pretas e pardas);</w:t>
      </w:r>
    </w:p>
    <w:p w14:paraId="4ABF98CF" w14:textId="77777777" w:rsidR="00FA04D8" w:rsidRPr="00537891" w:rsidRDefault="00FA04D8" w:rsidP="00FA04D8">
      <w:pPr>
        <w:numPr>
          <w:ilvl w:val="0"/>
          <w:numId w:val="1"/>
        </w:numPr>
        <w:rPr>
          <w:rFonts w:ascii="Times New Roman" w:hAnsi="Times New Roman" w:cs="Times New Roman"/>
          <w:sz w:val="24"/>
          <w:szCs w:val="24"/>
        </w:rPr>
      </w:pPr>
      <w:r w:rsidRPr="00537891">
        <w:rPr>
          <w:rFonts w:ascii="Times New Roman" w:hAnsi="Times New Roman" w:cs="Times New Roman"/>
          <w:b/>
          <w:bCs/>
          <w:sz w:val="24"/>
          <w:szCs w:val="24"/>
        </w:rPr>
        <w:t>10%</w:t>
      </w:r>
      <w:r w:rsidRPr="00537891">
        <w:rPr>
          <w:rFonts w:ascii="Times New Roman" w:hAnsi="Times New Roman" w:cs="Times New Roman"/>
          <w:sz w:val="24"/>
          <w:szCs w:val="24"/>
        </w:rPr>
        <w:t xml:space="preserve"> das vagas para pessoas indígenas;</w:t>
      </w:r>
    </w:p>
    <w:p w14:paraId="335620A1" w14:textId="77777777" w:rsidR="00FA04D8" w:rsidRPr="00537891" w:rsidRDefault="00FA04D8" w:rsidP="00FA04D8">
      <w:pPr>
        <w:numPr>
          <w:ilvl w:val="0"/>
          <w:numId w:val="1"/>
        </w:numPr>
        <w:rPr>
          <w:rFonts w:ascii="Times New Roman" w:hAnsi="Times New Roman" w:cs="Times New Roman"/>
          <w:sz w:val="24"/>
          <w:szCs w:val="24"/>
        </w:rPr>
      </w:pPr>
      <w:r w:rsidRPr="00537891">
        <w:rPr>
          <w:rFonts w:ascii="Times New Roman" w:hAnsi="Times New Roman" w:cs="Times New Roman"/>
          <w:b/>
          <w:bCs/>
          <w:sz w:val="24"/>
          <w:szCs w:val="24"/>
        </w:rPr>
        <w:lastRenderedPageBreak/>
        <w:t>5%</w:t>
      </w:r>
      <w:r w:rsidRPr="00537891">
        <w:rPr>
          <w:rFonts w:ascii="Times New Roman" w:hAnsi="Times New Roman" w:cs="Times New Roman"/>
          <w:sz w:val="24"/>
          <w:szCs w:val="24"/>
        </w:rPr>
        <w:t xml:space="preserve"> das vagas para pessoas com deficiência.</w:t>
      </w:r>
    </w:p>
    <w:p w14:paraId="0A2E9BC1" w14:textId="77777777" w:rsidR="00FA04D8" w:rsidRPr="00537891" w:rsidRDefault="00FA04D8" w:rsidP="00FA04D8">
      <w:pPr>
        <w:rPr>
          <w:rFonts w:ascii="Times New Roman" w:hAnsi="Times New Roman" w:cs="Times New Roman"/>
          <w:sz w:val="24"/>
          <w:szCs w:val="24"/>
        </w:rPr>
      </w:pPr>
      <w:r w:rsidRPr="00537891">
        <w:rPr>
          <w:rFonts w:ascii="Times New Roman" w:hAnsi="Times New Roman" w:cs="Times New Roman"/>
          <w:sz w:val="24"/>
          <w:szCs w:val="24"/>
        </w:rPr>
        <w:t>Obs.: As vagas reservadas para cotas serão remanejadas para ampla concorrência caso não haja número suficiente de candidatos aptos dentro das ações afirmativas.</w:t>
      </w:r>
    </w:p>
    <w:p w14:paraId="3919F7BB" w14:textId="3050E891" w:rsidR="00FA04D8" w:rsidRPr="00537891" w:rsidRDefault="00FA04D8" w:rsidP="00FA04D8">
      <w:pPr>
        <w:rPr>
          <w:rFonts w:ascii="Times New Roman" w:hAnsi="Times New Roman" w:cs="Times New Roman"/>
          <w:sz w:val="24"/>
          <w:szCs w:val="24"/>
        </w:rPr>
      </w:pPr>
    </w:p>
    <w:p w14:paraId="344198C0" w14:textId="4D6D3098" w:rsidR="00FA04D8" w:rsidRPr="00537891" w:rsidRDefault="00724A49" w:rsidP="00FA04D8">
      <w:pPr>
        <w:rPr>
          <w:rFonts w:ascii="Times New Roman" w:hAnsi="Times New Roman" w:cs="Times New Roman"/>
          <w:b/>
          <w:bCs/>
          <w:sz w:val="24"/>
          <w:szCs w:val="24"/>
        </w:rPr>
      </w:pPr>
      <w:r w:rsidRPr="00537891">
        <w:rPr>
          <w:rFonts w:ascii="Times New Roman" w:hAnsi="Times New Roman" w:cs="Times New Roman"/>
          <w:b/>
          <w:bCs/>
          <w:sz w:val="24"/>
          <w:szCs w:val="24"/>
        </w:rPr>
        <w:t>4</w:t>
      </w:r>
      <w:r w:rsidR="00FA04D8" w:rsidRPr="00537891">
        <w:rPr>
          <w:rFonts w:ascii="Times New Roman" w:hAnsi="Times New Roman" w:cs="Times New Roman"/>
          <w:b/>
          <w:bCs/>
          <w:sz w:val="24"/>
          <w:szCs w:val="24"/>
        </w:rPr>
        <w:t>. DESCRIÇÃO DAS CATEGORIAS</w:t>
      </w:r>
    </w:p>
    <w:p w14:paraId="538DD318" w14:textId="77777777" w:rsidR="00FA04D8" w:rsidRPr="00537891" w:rsidRDefault="00FA04D8" w:rsidP="00FA04D8">
      <w:pPr>
        <w:numPr>
          <w:ilvl w:val="0"/>
          <w:numId w:val="2"/>
        </w:numPr>
        <w:rPr>
          <w:rFonts w:ascii="Times New Roman" w:hAnsi="Times New Roman" w:cs="Times New Roman"/>
          <w:sz w:val="24"/>
          <w:szCs w:val="24"/>
        </w:rPr>
      </w:pPr>
      <w:r w:rsidRPr="00537891">
        <w:rPr>
          <w:rFonts w:ascii="Times New Roman" w:hAnsi="Times New Roman" w:cs="Times New Roman"/>
          <w:b/>
          <w:bCs/>
          <w:sz w:val="24"/>
          <w:szCs w:val="24"/>
        </w:rPr>
        <w:t>Agentes Culturais em Áreas Rurais e Periféricas</w:t>
      </w:r>
      <w:r w:rsidRPr="00537891">
        <w:rPr>
          <w:rFonts w:ascii="Times New Roman" w:hAnsi="Times New Roman" w:cs="Times New Roman"/>
          <w:sz w:val="24"/>
          <w:szCs w:val="24"/>
        </w:rPr>
        <w:t>:</w:t>
      </w:r>
    </w:p>
    <w:p w14:paraId="02E8154A" w14:textId="77777777" w:rsidR="00FA04D8" w:rsidRPr="00537891" w:rsidRDefault="00FA04D8" w:rsidP="00FA04D8">
      <w:pPr>
        <w:numPr>
          <w:ilvl w:val="1"/>
          <w:numId w:val="2"/>
        </w:numPr>
        <w:rPr>
          <w:rFonts w:ascii="Times New Roman" w:hAnsi="Times New Roman" w:cs="Times New Roman"/>
          <w:sz w:val="24"/>
          <w:szCs w:val="24"/>
        </w:rPr>
      </w:pPr>
      <w:r w:rsidRPr="00537891">
        <w:rPr>
          <w:rFonts w:ascii="Times New Roman" w:hAnsi="Times New Roman" w:cs="Times New Roman"/>
          <w:sz w:val="24"/>
          <w:szCs w:val="24"/>
        </w:rPr>
        <w:t>Esta categoria contempla agentes culturais que residem e atuam em áreas rurais e periféricas de Campo Alegre de Goiás, com o objetivo de incentivar e valorizar a produção cultural nessas regiões.</w:t>
      </w:r>
    </w:p>
    <w:p w14:paraId="1C857BFF" w14:textId="77777777" w:rsidR="00FA04D8" w:rsidRPr="00537891" w:rsidRDefault="00FA04D8" w:rsidP="00FA04D8">
      <w:pPr>
        <w:numPr>
          <w:ilvl w:val="1"/>
          <w:numId w:val="2"/>
        </w:numPr>
        <w:rPr>
          <w:rFonts w:ascii="Times New Roman" w:hAnsi="Times New Roman" w:cs="Times New Roman"/>
          <w:sz w:val="24"/>
          <w:szCs w:val="24"/>
        </w:rPr>
      </w:pPr>
      <w:r w:rsidRPr="00537891">
        <w:rPr>
          <w:rFonts w:ascii="Times New Roman" w:hAnsi="Times New Roman" w:cs="Times New Roman"/>
          <w:b/>
          <w:bCs/>
          <w:sz w:val="24"/>
          <w:szCs w:val="24"/>
        </w:rPr>
        <w:t>Prêmios</w:t>
      </w:r>
      <w:r w:rsidRPr="00537891">
        <w:rPr>
          <w:rFonts w:ascii="Times New Roman" w:hAnsi="Times New Roman" w:cs="Times New Roman"/>
          <w:sz w:val="24"/>
          <w:szCs w:val="24"/>
        </w:rPr>
        <w:t>: 1 prêmio de R$ 4.400,00.</w:t>
      </w:r>
    </w:p>
    <w:p w14:paraId="47F29D63" w14:textId="77777777" w:rsidR="00FA04D8" w:rsidRPr="00537891" w:rsidRDefault="00FA04D8" w:rsidP="00FA04D8">
      <w:pPr>
        <w:numPr>
          <w:ilvl w:val="0"/>
          <w:numId w:val="2"/>
        </w:numPr>
        <w:rPr>
          <w:rFonts w:ascii="Times New Roman" w:hAnsi="Times New Roman" w:cs="Times New Roman"/>
          <w:sz w:val="24"/>
          <w:szCs w:val="24"/>
        </w:rPr>
      </w:pPr>
      <w:r w:rsidRPr="00537891">
        <w:rPr>
          <w:rFonts w:ascii="Times New Roman" w:hAnsi="Times New Roman" w:cs="Times New Roman"/>
          <w:b/>
          <w:bCs/>
          <w:sz w:val="24"/>
          <w:szCs w:val="24"/>
        </w:rPr>
        <w:t>Trabalhadores da Cultura em Geral</w:t>
      </w:r>
      <w:r w:rsidRPr="00537891">
        <w:rPr>
          <w:rFonts w:ascii="Times New Roman" w:hAnsi="Times New Roman" w:cs="Times New Roman"/>
          <w:sz w:val="24"/>
          <w:szCs w:val="24"/>
        </w:rPr>
        <w:t>:</w:t>
      </w:r>
    </w:p>
    <w:p w14:paraId="418CAED7" w14:textId="77777777" w:rsidR="00FA04D8" w:rsidRPr="00537891" w:rsidRDefault="00FA04D8" w:rsidP="00FA04D8">
      <w:pPr>
        <w:numPr>
          <w:ilvl w:val="1"/>
          <w:numId w:val="2"/>
        </w:numPr>
        <w:rPr>
          <w:rFonts w:ascii="Times New Roman" w:hAnsi="Times New Roman" w:cs="Times New Roman"/>
          <w:sz w:val="24"/>
          <w:szCs w:val="24"/>
        </w:rPr>
      </w:pPr>
      <w:r w:rsidRPr="00537891">
        <w:rPr>
          <w:rFonts w:ascii="Times New Roman" w:hAnsi="Times New Roman" w:cs="Times New Roman"/>
          <w:sz w:val="24"/>
          <w:szCs w:val="24"/>
        </w:rPr>
        <w:t>A categoria é destinada a trabalhadores da cultura que comprovem, no mínimo, cinco anos de atuação no município. Estes prêmios visam reconhecer e fomentar o trabalho contínuo de agentes culturais no fortalecimento da cultura local.</w:t>
      </w:r>
    </w:p>
    <w:p w14:paraId="4D1C39B5" w14:textId="77777777" w:rsidR="00FA04D8" w:rsidRPr="00537891" w:rsidRDefault="00FA04D8" w:rsidP="00FA04D8">
      <w:pPr>
        <w:numPr>
          <w:ilvl w:val="1"/>
          <w:numId w:val="2"/>
        </w:numPr>
        <w:rPr>
          <w:rFonts w:ascii="Times New Roman" w:hAnsi="Times New Roman" w:cs="Times New Roman"/>
          <w:sz w:val="24"/>
          <w:szCs w:val="24"/>
        </w:rPr>
      </w:pPr>
      <w:r w:rsidRPr="00537891">
        <w:rPr>
          <w:rFonts w:ascii="Times New Roman" w:hAnsi="Times New Roman" w:cs="Times New Roman"/>
          <w:b/>
          <w:bCs/>
          <w:sz w:val="24"/>
          <w:szCs w:val="24"/>
        </w:rPr>
        <w:t>Prêmios</w:t>
      </w:r>
      <w:r w:rsidRPr="00537891">
        <w:rPr>
          <w:rFonts w:ascii="Times New Roman" w:hAnsi="Times New Roman" w:cs="Times New Roman"/>
          <w:sz w:val="24"/>
          <w:szCs w:val="24"/>
        </w:rPr>
        <w:t>: 7 prêmios de R$ 3.600,00.</w:t>
      </w:r>
    </w:p>
    <w:p w14:paraId="4EDEB928" w14:textId="2AF6CD88" w:rsidR="00FA04D8" w:rsidRPr="00537891" w:rsidRDefault="00FA04D8" w:rsidP="00FA04D8">
      <w:pPr>
        <w:rPr>
          <w:rFonts w:ascii="Times New Roman" w:hAnsi="Times New Roman" w:cs="Times New Roman"/>
          <w:sz w:val="24"/>
          <w:szCs w:val="24"/>
        </w:rPr>
      </w:pPr>
    </w:p>
    <w:p w14:paraId="51721CA8" w14:textId="7B195B33" w:rsidR="00FA04D8" w:rsidRPr="00537891" w:rsidRDefault="00724A49" w:rsidP="00FA04D8">
      <w:pPr>
        <w:rPr>
          <w:rFonts w:ascii="Times New Roman" w:hAnsi="Times New Roman" w:cs="Times New Roman"/>
          <w:b/>
          <w:bCs/>
          <w:sz w:val="24"/>
          <w:szCs w:val="24"/>
        </w:rPr>
      </w:pPr>
      <w:r w:rsidRPr="00537891">
        <w:rPr>
          <w:rFonts w:ascii="Times New Roman" w:hAnsi="Times New Roman" w:cs="Times New Roman"/>
          <w:b/>
          <w:bCs/>
          <w:sz w:val="24"/>
          <w:szCs w:val="24"/>
        </w:rPr>
        <w:t>5</w:t>
      </w:r>
      <w:r w:rsidR="00FA04D8" w:rsidRPr="00537891">
        <w:rPr>
          <w:rFonts w:ascii="Times New Roman" w:hAnsi="Times New Roman" w:cs="Times New Roman"/>
          <w:b/>
          <w:bCs/>
          <w:sz w:val="24"/>
          <w:szCs w:val="24"/>
        </w:rPr>
        <w:t>. CRITÉRIOS PARA DISTRIBUIÇÃO DAS VAGAS</w:t>
      </w:r>
    </w:p>
    <w:p w14:paraId="21C22CCE" w14:textId="77777777" w:rsidR="00FA04D8" w:rsidRPr="00537891" w:rsidRDefault="00FA04D8" w:rsidP="00FA04D8">
      <w:pPr>
        <w:numPr>
          <w:ilvl w:val="0"/>
          <w:numId w:val="3"/>
        </w:numPr>
        <w:rPr>
          <w:rFonts w:ascii="Times New Roman" w:hAnsi="Times New Roman" w:cs="Times New Roman"/>
          <w:sz w:val="24"/>
          <w:szCs w:val="24"/>
        </w:rPr>
      </w:pPr>
      <w:r w:rsidRPr="00537891">
        <w:rPr>
          <w:rFonts w:ascii="Times New Roman" w:hAnsi="Times New Roman" w:cs="Times New Roman"/>
          <w:sz w:val="24"/>
          <w:szCs w:val="24"/>
        </w:rPr>
        <w:t>Os prêmios concedidos não exigem contrapartida, sendo doados diretamente aos contemplados sem encargos adicionais.</w:t>
      </w:r>
    </w:p>
    <w:p w14:paraId="313D9129" w14:textId="77777777" w:rsidR="00FA04D8" w:rsidRPr="00537891" w:rsidRDefault="00FA04D8" w:rsidP="00FA04D8">
      <w:pPr>
        <w:numPr>
          <w:ilvl w:val="0"/>
          <w:numId w:val="3"/>
        </w:numPr>
        <w:rPr>
          <w:rFonts w:ascii="Times New Roman" w:hAnsi="Times New Roman" w:cs="Times New Roman"/>
          <w:sz w:val="24"/>
          <w:szCs w:val="24"/>
        </w:rPr>
      </w:pPr>
      <w:r w:rsidRPr="00537891">
        <w:rPr>
          <w:rFonts w:ascii="Times New Roman" w:hAnsi="Times New Roman" w:cs="Times New Roman"/>
          <w:sz w:val="24"/>
          <w:szCs w:val="24"/>
        </w:rPr>
        <w:t>As ações afirmativas serão priorizadas na distribuição inicial das vagas. Caso não sejam preenchidas, as vagas serão remanejadas para ampla concorrência.</w:t>
      </w:r>
    </w:p>
    <w:p w14:paraId="58271AE9" w14:textId="77777777" w:rsidR="008A4AF7" w:rsidRPr="00537891" w:rsidRDefault="008A4AF7">
      <w:pPr>
        <w:rPr>
          <w:rFonts w:ascii="Times New Roman" w:hAnsi="Times New Roman" w:cs="Times New Roman"/>
          <w:sz w:val="24"/>
          <w:szCs w:val="24"/>
        </w:rPr>
      </w:pPr>
    </w:p>
    <w:sectPr w:rsidR="008A4AF7" w:rsidRPr="005378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F3695" w14:textId="77777777" w:rsidR="00437594" w:rsidRDefault="00437594" w:rsidP="00537891">
      <w:pPr>
        <w:spacing w:after="0" w:line="240" w:lineRule="auto"/>
      </w:pPr>
      <w:r>
        <w:separator/>
      </w:r>
    </w:p>
  </w:endnote>
  <w:endnote w:type="continuationSeparator" w:id="0">
    <w:p w14:paraId="0D611A63" w14:textId="77777777" w:rsidR="00437594" w:rsidRDefault="00437594" w:rsidP="00537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61C9" w14:textId="77777777" w:rsidR="00437594" w:rsidRDefault="00437594" w:rsidP="00537891">
      <w:pPr>
        <w:spacing w:after="0" w:line="240" w:lineRule="auto"/>
      </w:pPr>
      <w:r>
        <w:separator/>
      </w:r>
    </w:p>
  </w:footnote>
  <w:footnote w:type="continuationSeparator" w:id="0">
    <w:p w14:paraId="3E32769B" w14:textId="77777777" w:rsidR="00437594" w:rsidRDefault="00437594" w:rsidP="00537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9B58" w14:textId="2E6F69E7" w:rsidR="00537891" w:rsidRDefault="00537891" w:rsidP="00537891">
    <w:pPr>
      <w:pStyle w:val="Cabealho"/>
      <w:jc w:val="center"/>
    </w:pPr>
    <w:r>
      <w:rPr>
        <w:noProof/>
      </w:rPr>
      <w:drawing>
        <wp:inline distT="0" distB="0" distL="0" distR="0" wp14:anchorId="033E9F62" wp14:editId="130DC21E">
          <wp:extent cx="4133850" cy="807908"/>
          <wp:effectExtent l="0" t="0" r="0" b="0"/>
          <wp:docPr id="12999123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12362" name="Imagem 1299912362"/>
                  <pic:cNvPicPr/>
                </pic:nvPicPr>
                <pic:blipFill>
                  <a:blip r:embed="rId1">
                    <a:extLst>
                      <a:ext uri="{28A0092B-C50C-407E-A947-70E740481C1C}">
                        <a14:useLocalDpi xmlns:a14="http://schemas.microsoft.com/office/drawing/2010/main" val="0"/>
                      </a:ext>
                    </a:extLst>
                  </a:blip>
                  <a:stretch>
                    <a:fillRect/>
                  </a:stretch>
                </pic:blipFill>
                <pic:spPr>
                  <a:xfrm>
                    <a:off x="0" y="0"/>
                    <a:ext cx="4171323" cy="815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1838"/>
    <w:multiLevelType w:val="multilevel"/>
    <w:tmpl w:val="845C6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C525B"/>
    <w:multiLevelType w:val="multilevel"/>
    <w:tmpl w:val="482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B3759"/>
    <w:multiLevelType w:val="multilevel"/>
    <w:tmpl w:val="2EF4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872335">
    <w:abstractNumId w:val="1"/>
  </w:num>
  <w:num w:numId="2" w16cid:durableId="198319915">
    <w:abstractNumId w:val="0"/>
  </w:num>
  <w:num w:numId="3" w16cid:durableId="3539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D8"/>
    <w:rsid w:val="00140749"/>
    <w:rsid w:val="003E7FC0"/>
    <w:rsid w:val="00431147"/>
    <w:rsid w:val="00437594"/>
    <w:rsid w:val="00537891"/>
    <w:rsid w:val="00724A49"/>
    <w:rsid w:val="008A4AF7"/>
    <w:rsid w:val="009D0F4A"/>
    <w:rsid w:val="00BE0926"/>
    <w:rsid w:val="00F64124"/>
    <w:rsid w:val="00FA04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A874"/>
  <w15:chartTrackingRefBased/>
  <w15:docId w15:val="{95762ACA-EED1-4ABA-9F83-A773D374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A0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A0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A04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A04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A04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A04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A04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A04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A04D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04D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A04D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A04D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A04D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A04D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A04D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A04D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A04D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A04D8"/>
    <w:rPr>
      <w:rFonts w:eastAsiaTheme="majorEastAsia" w:cstheme="majorBidi"/>
      <w:color w:val="272727" w:themeColor="text1" w:themeTint="D8"/>
    </w:rPr>
  </w:style>
  <w:style w:type="paragraph" w:styleId="Ttulo">
    <w:name w:val="Title"/>
    <w:basedOn w:val="Normal"/>
    <w:next w:val="Normal"/>
    <w:link w:val="TtuloChar"/>
    <w:uiPriority w:val="10"/>
    <w:qFormat/>
    <w:rsid w:val="00FA0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A04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A04D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A04D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A04D8"/>
    <w:pPr>
      <w:spacing w:before="160"/>
      <w:jc w:val="center"/>
    </w:pPr>
    <w:rPr>
      <w:i/>
      <w:iCs/>
      <w:color w:val="404040" w:themeColor="text1" w:themeTint="BF"/>
    </w:rPr>
  </w:style>
  <w:style w:type="character" w:customStyle="1" w:styleId="CitaoChar">
    <w:name w:val="Citação Char"/>
    <w:basedOn w:val="Fontepargpadro"/>
    <w:link w:val="Citao"/>
    <w:uiPriority w:val="29"/>
    <w:rsid w:val="00FA04D8"/>
    <w:rPr>
      <w:i/>
      <w:iCs/>
      <w:color w:val="404040" w:themeColor="text1" w:themeTint="BF"/>
    </w:rPr>
  </w:style>
  <w:style w:type="paragraph" w:styleId="PargrafodaLista">
    <w:name w:val="List Paragraph"/>
    <w:basedOn w:val="Normal"/>
    <w:uiPriority w:val="34"/>
    <w:qFormat/>
    <w:rsid w:val="00FA04D8"/>
    <w:pPr>
      <w:ind w:left="720"/>
      <w:contextualSpacing/>
    </w:pPr>
  </w:style>
  <w:style w:type="character" w:styleId="nfaseIntensa">
    <w:name w:val="Intense Emphasis"/>
    <w:basedOn w:val="Fontepargpadro"/>
    <w:uiPriority w:val="21"/>
    <w:qFormat/>
    <w:rsid w:val="00FA04D8"/>
    <w:rPr>
      <w:i/>
      <w:iCs/>
      <w:color w:val="0F4761" w:themeColor="accent1" w:themeShade="BF"/>
    </w:rPr>
  </w:style>
  <w:style w:type="paragraph" w:styleId="CitaoIntensa">
    <w:name w:val="Intense Quote"/>
    <w:basedOn w:val="Normal"/>
    <w:next w:val="Normal"/>
    <w:link w:val="CitaoIntensaChar"/>
    <w:uiPriority w:val="30"/>
    <w:qFormat/>
    <w:rsid w:val="00FA0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A04D8"/>
    <w:rPr>
      <w:i/>
      <w:iCs/>
      <w:color w:val="0F4761" w:themeColor="accent1" w:themeShade="BF"/>
    </w:rPr>
  </w:style>
  <w:style w:type="character" w:styleId="RefernciaIntensa">
    <w:name w:val="Intense Reference"/>
    <w:basedOn w:val="Fontepargpadro"/>
    <w:uiPriority w:val="32"/>
    <w:qFormat/>
    <w:rsid w:val="00FA04D8"/>
    <w:rPr>
      <w:b/>
      <w:bCs/>
      <w:smallCaps/>
      <w:color w:val="0F4761" w:themeColor="accent1" w:themeShade="BF"/>
      <w:spacing w:val="5"/>
    </w:rPr>
  </w:style>
  <w:style w:type="table" w:styleId="Tabelacomgrade">
    <w:name w:val="Table Grid"/>
    <w:basedOn w:val="Tabelanormal"/>
    <w:uiPriority w:val="39"/>
    <w:rsid w:val="00FA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378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7891"/>
  </w:style>
  <w:style w:type="paragraph" w:styleId="Rodap">
    <w:name w:val="footer"/>
    <w:basedOn w:val="Normal"/>
    <w:link w:val="RodapChar"/>
    <w:uiPriority w:val="99"/>
    <w:unhideWhenUsed/>
    <w:rsid w:val="00537891"/>
    <w:pPr>
      <w:tabs>
        <w:tab w:val="center" w:pos="4252"/>
        <w:tab w:val="right" w:pos="8504"/>
      </w:tabs>
      <w:spacing w:after="0" w:line="240" w:lineRule="auto"/>
    </w:pPr>
  </w:style>
  <w:style w:type="character" w:customStyle="1" w:styleId="RodapChar">
    <w:name w:val="Rodapé Char"/>
    <w:basedOn w:val="Fontepargpadro"/>
    <w:link w:val="Rodap"/>
    <w:uiPriority w:val="99"/>
    <w:rsid w:val="0053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065086">
      <w:bodyDiv w:val="1"/>
      <w:marLeft w:val="0"/>
      <w:marRight w:val="0"/>
      <w:marTop w:val="0"/>
      <w:marBottom w:val="0"/>
      <w:divBdr>
        <w:top w:val="none" w:sz="0" w:space="0" w:color="auto"/>
        <w:left w:val="none" w:sz="0" w:space="0" w:color="auto"/>
        <w:bottom w:val="none" w:sz="0" w:space="0" w:color="auto"/>
        <w:right w:val="none" w:sz="0" w:space="0" w:color="auto"/>
      </w:divBdr>
      <w:divsChild>
        <w:div w:id="593174851">
          <w:marLeft w:val="0"/>
          <w:marRight w:val="0"/>
          <w:marTop w:val="0"/>
          <w:marBottom w:val="0"/>
          <w:divBdr>
            <w:top w:val="none" w:sz="0" w:space="0" w:color="auto"/>
            <w:left w:val="none" w:sz="0" w:space="0" w:color="auto"/>
            <w:bottom w:val="none" w:sz="0" w:space="0" w:color="auto"/>
            <w:right w:val="none" w:sz="0" w:space="0" w:color="auto"/>
          </w:divBdr>
        </w:div>
        <w:div w:id="441144803">
          <w:marLeft w:val="0"/>
          <w:marRight w:val="0"/>
          <w:marTop w:val="0"/>
          <w:marBottom w:val="0"/>
          <w:divBdr>
            <w:top w:val="none" w:sz="0" w:space="0" w:color="auto"/>
            <w:left w:val="none" w:sz="0" w:space="0" w:color="auto"/>
            <w:bottom w:val="none" w:sz="0" w:space="0" w:color="auto"/>
            <w:right w:val="none" w:sz="0" w:space="0" w:color="auto"/>
          </w:divBdr>
        </w:div>
        <w:div w:id="802889358">
          <w:marLeft w:val="0"/>
          <w:marRight w:val="0"/>
          <w:marTop w:val="0"/>
          <w:marBottom w:val="0"/>
          <w:divBdr>
            <w:top w:val="none" w:sz="0" w:space="0" w:color="auto"/>
            <w:left w:val="none" w:sz="0" w:space="0" w:color="auto"/>
            <w:bottom w:val="none" w:sz="0" w:space="0" w:color="auto"/>
            <w:right w:val="none" w:sz="0" w:space="0" w:color="auto"/>
          </w:divBdr>
        </w:div>
        <w:div w:id="1503861393">
          <w:marLeft w:val="0"/>
          <w:marRight w:val="0"/>
          <w:marTop w:val="0"/>
          <w:marBottom w:val="0"/>
          <w:divBdr>
            <w:top w:val="none" w:sz="0" w:space="0" w:color="auto"/>
            <w:left w:val="none" w:sz="0" w:space="0" w:color="auto"/>
            <w:bottom w:val="none" w:sz="0" w:space="0" w:color="auto"/>
            <w:right w:val="none" w:sz="0" w:space="0" w:color="auto"/>
          </w:divBdr>
        </w:div>
        <w:div w:id="1496677817">
          <w:marLeft w:val="0"/>
          <w:marRight w:val="0"/>
          <w:marTop w:val="0"/>
          <w:marBottom w:val="0"/>
          <w:divBdr>
            <w:top w:val="none" w:sz="0" w:space="0" w:color="auto"/>
            <w:left w:val="none" w:sz="0" w:space="0" w:color="auto"/>
            <w:bottom w:val="none" w:sz="0" w:space="0" w:color="auto"/>
            <w:right w:val="none" w:sz="0" w:space="0" w:color="auto"/>
          </w:divBdr>
        </w:div>
        <w:div w:id="2028631433">
          <w:marLeft w:val="0"/>
          <w:marRight w:val="0"/>
          <w:marTop w:val="0"/>
          <w:marBottom w:val="0"/>
          <w:divBdr>
            <w:top w:val="none" w:sz="0" w:space="0" w:color="auto"/>
            <w:left w:val="none" w:sz="0" w:space="0" w:color="auto"/>
            <w:bottom w:val="none" w:sz="0" w:space="0" w:color="auto"/>
            <w:right w:val="none" w:sz="0" w:space="0" w:color="auto"/>
          </w:divBdr>
        </w:div>
      </w:divsChild>
    </w:div>
    <w:div w:id="1700158527">
      <w:bodyDiv w:val="1"/>
      <w:marLeft w:val="0"/>
      <w:marRight w:val="0"/>
      <w:marTop w:val="0"/>
      <w:marBottom w:val="0"/>
      <w:divBdr>
        <w:top w:val="none" w:sz="0" w:space="0" w:color="auto"/>
        <w:left w:val="none" w:sz="0" w:space="0" w:color="auto"/>
        <w:bottom w:val="none" w:sz="0" w:space="0" w:color="auto"/>
        <w:right w:val="none" w:sz="0" w:space="0" w:color="auto"/>
      </w:divBdr>
      <w:divsChild>
        <w:div w:id="796340026">
          <w:marLeft w:val="0"/>
          <w:marRight w:val="0"/>
          <w:marTop w:val="0"/>
          <w:marBottom w:val="0"/>
          <w:divBdr>
            <w:top w:val="none" w:sz="0" w:space="0" w:color="auto"/>
            <w:left w:val="none" w:sz="0" w:space="0" w:color="auto"/>
            <w:bottom w:val="none" w:sz="0" w:space="0" w:color="auto"/>
            <w:right w:val="none" w:sz="0" w:space="0" w:color="auto"/>
          </w:divBdr>
        </w:div>
        <w:div w:id="1408306285">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0"/>
          <w:divBdr>
            <w:top w:val="none" w:sz="0" w:space="0" w:color="auto"/>
            <w:left w:val="none" w:sz="0" w:space="0" w:color="auto"/>
            <w:bottom w:val="none" w:sz="0" w:space="0" w:color="auto"/>
            <w:right w:val="none" w:sz="0" w:space="0" w:color="auto"/>
          </w:divBdr>
        </w:div>
        <w:div w:id="227693620">
          <w:marLeft w:val="0"/>
          <w:marRight w:val="0"/>
          <w:marTop w:val="0"/>
          <w:marBottom w:val="0"/>
          <w:divBdr>
            <w:top w:val="none" w:sz="0" w:space="0" w:color="auto"/>
            <w:left w:val="none" w:sz="0" w:space="0" w:color="auto"/>
            <w:bottom w:val="none" w:sz="0" w:space="0" w:color="auto"/>
            <w:right w:val="none" w:sz="0" w:space="0" w:color="auto"/>
          </w:divBdr>
        </w:div>
        <w:div w:id="1764643252">
          <w:marLeft w:val="0"/>
          <w:marRight w:val="0"/>
          <w:marTop w:val="0"/>
          <w:marBottom w:val="0"/>
          <w:divBdr>
            <w:top w:val="none" w:sz="0" w:space="0" w:color="auto"/>
            <w:left w:val="none" w:sz="0" w:space="0" w:color="auto"/>
            <w:bottom w:val="none" w:sz="0" w:space="0" w:color="auto"/>
            <w:right w:val="none" w:sz="0" w:space="0" w:color="auto"/>
          </w:divBdr>
        </w:div>
        <w:div w:id="135877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388</Words>
  <Characters>2101</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Wellington Dias de Jesus</dc:creator>
  <cp:keywords/>
  <dc:description/>
  <cp:lastModifiedBy>Suráia David</cp:lastModifiedBy>
  <cp:revision>5</cp:revision>
  <cp:lastPrinted>2025-01-24T14:02:00Z</cp:lastPrinted>
  <dcterms:created xsi:type="dcterms:W3CDTF">2025-01-20T14:43:00Z</dcterms:created>
  <dcterms:modified xsi:type="dcterms:W3CDTF">2025-02-05T15:51:00Z</dcterms:modified>
</cp:coreProperties>
</file>